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西南医科大学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2020年诚聘海内外英才</w:t>
      </w:r>
    </w:p>
    <w:p>
      <w:pPr>
        <w:spacing w:line="54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西南医科大学是四川省省属普通高等院校，坐落在川滇黔渝结合部的泸州。泸州，是“国家历史文化名城”“全国双拥模范城”“国家卫生城市”“中国优秀旅游城市”“国家森林城市”“国家园林城市”“全国文明城市”。</w:t>
      </w:r>
    </w:p>
    <w:p>
      <w:pPr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西南医科大学现有31个普通本科专业，涵盖医学、理学、工学、管理学、教育学、文学、法学等7个学科门类，有国家级特色专业3个，省级特色专业3个，省级应用型示范专业5个，省级一流本科专业建设点11个。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学校承担了国家级卓越医生教育培养计划项目、卓越医生（中医）教育培养计划项目，是国家级临床医学专业综合改革试点、全国首批临床医学硕士专业学位研究生培养模式改革试点高校，四川省首批卓越法律人才教育培养计划示范性实践教学基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有各级各类科研平台59个，其中教育部重点实验室1个，国家级博士后科研工作站1个，国家药物临床试验机构1个，省级重点实验室2个，四川省国际合作基地、工程实验室各1个，四川省2011协同创新中心1 个，院士（专家）工作站3个。近3年获批厅局级及以上科技创新团队30个、科技创新平台10个，获省部级以上科技成果奖21项。</w:t>
      </w:r>
    </w:p>
    <w:p>
      <w:pPr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学校有3所直属附属医院，有国家临床教学培训示范中心1个、国家级大学生校外实践教学基地1个，有国家级、省部级医学重点学科（专科）35个、是国家级“胸痛中心”“高级卒中中心”“心衰中心”、国家中医临床研究基地建设单位、四川省妇科及乳腺疾病治疗中心，是国家卫健委冠心病介入培训基地，建成了中国-葡语系国家和地区中医药国际合作基地，作为西南四省（市）结合区域的省级医疗中心，为川渝滇黔结合区域近4000万人民健康保驾护航。</w:t>
      </w:r>
    </w:p>
    <w:p>
      <w:pPr>
        <w:spacing w:line="54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现面向海内外诚聘各类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single"/>
        </w:rPr>
        <w:t>博士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英才（年龄一般不超过45周岁），具体如下：</w:t>
      </w:r>
    </w:p>
    <w:p>
      <w:pPr>
        <w:spacing w:line="540" w:lineRule="exact"/>
        <w:ind w:firstLine="562" w:firstLineChars="200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一、需求专业</w:t>
      </w:r>
    </w:p>
    <w:tbl>
      <w:tblPr>
        <w:tblStyle w:val="7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102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学科门类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需求专业                    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（含一级学科覆盖的二、三级专业）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医学类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基础医学、临床医学、口腔医学、公共卫生与预防医学、中医学、中西医结合、药学、中药学、护理学、医学技术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法学类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法学、马克思主义理论、政治学、社会学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管理学类</w:t>
            </w:r>
          </w:p>
        </w:tc>
        <w:tc>
          <w:tcPr>
            <w:tcW w:w="53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管理科学与工程、工商管理、公共管理、图书情报与档案管理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教育学类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教育学、心理学、体育学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文学类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外国语言文学（英语方向）、中国语言文学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理学类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数学、物理学、化学、生物学、统计学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工学类</w:t>
            </w:r>
          </w:p>
        </w:tc>
        <w:tc>
          <w:tcPr>
            <w:tcW w:w="53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光学工程、生物医学工程、计算机科学与技术、信息与通信工程、电子科学与技术、软件工程、生物工程、食品科学与工程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哲学类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经济学类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理论经济学、应用经济学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历史学类</w:t>
            </w:r>
          </w:p>
        </w:tc>
        <w:tc>
          <w:tcPr>
            <w:tcW w:w="53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中国史、世界史</w:t>
            </w:r>
          </w:p>
        </w:tc>
      </w:tr>
    </w:tbl>
    <w:p/>
    <w:p>
      <w:pPr>
        <w:spacing w:line="54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pacing w:line="54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引进待遇(人民币，下同)</w:t>
      </w:r>
    </w:p>
    <w:tbl>
      <w:tblPr>
        <w:tblStyle w:val="7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719"/>
        <w:gridCol w:w="1776"/>
        <w:gridCol w:w="261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  <w:t>引进类别</w:t>
            </w:r>
          </w:p>
        </w:tc>
        <w:tc>
          <w:tcPr>
            <w:tcW w:w="1719" w:type="dxa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  <w:t>安家费</w:t>
            </w:r>
          </w:p>
        </w:tc>
        <w:tc>
          <w:tcPr>
            <w:tcW w:w="1776" w:type="dxa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  <w:t>租房补贴</w:t>
            </w:r>
          </w:p>
        </w:tc>
        <w:tc>
          <w:tcPr>
            <w:tcW w:w="2610" w:type="dxa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  <w:t>薪酬及待遇</w:t>
            </w:r>
          </w:p>
        </w:tc>
        <w:tc>
          <w:tcPr>
            <w:tcW w:w="1230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  <w:t>科研启动经费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66" w:type="dxa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  <w:t>A类博士</w:t>
            </w:r>
          </w:p>
        </w:tc>
        <w:tc>
          <w:tcPr>
            <w:tcW w:w="171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28-33万元(自然学科,税后）；23-28万元（人文学科,税后）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（含当地政府发放的安家费及生活补贴。学校发放部分按12个月平均发放）</w:t>
            </w:r>
          </w:p>
        </w:tc>
        <w:tc>
          <w:tcPr>
            <w:tcW w:w="1776" w:type="dxa"/>
            <w:vMerge w:val="restart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提供房租补贴1500元/月，最长24个月。</w:t>
            </w:r>
          </w:p>
        </w:tc>
        <w:tc>
          <w:tcPr>
            <w:tcW w:w="2610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基本工资标准按国家政策兑现中级职称待遇（专十级），校内绩效享受校聘副教授待遇2年，2年后按实际职称兑现待遇</w:t>
            </w:r>
          </w:p>
        </w:tc>
        <w:tc>
          <w:tcPr>
            <w:tcW w:w="1230" w:type="dxa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人文学科类：10-15万元；自然学科类：15-20万元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</w:rPr>
              <w:t>B类博士</w:t>
            </w:r>
          </w:p>
        </w:tc>
        <w:tc>
          <w:tcPr>
            <w:tcW w:w="1719" w:type="dxa"/>
          </w:tcPr>
          <w:p>
            <w:pPr>
              <w:pStyle w:val="5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23-28万元（自然学科,税后）；18-23（人文学科,税后）</w:t>
            </w:r>
          </w:p>
          <w:p>
            <w:pPr>
              <w:pStyle w:val="5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（含当地政府发放的安家费及生活补贴,学校发放部分按12个月平均发放）</w:t>
            </w:r>
          </w:p>
        </w:tc>
        <w:tc>
          <w:tcPr>
            <w:tcW w:w="1776" w:type="dxa"/>
            <w:vMerge w:val="continue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2610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</w:p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工资标准及校内绩效执行中级职称待遇（专十级）</w:t>
            </w:r>
          </w:p>
        </w:tc>
        <w:tc>
          <w:tcPr>
            <w:tcW w:w="1230" w:type="dxa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人文学科类：5-10万元；自然学科类：10-15万元</w:t>
            </w:r>
          </w:p>
        </w:tc>
      </w:tr>
    </w:tbl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注：A类博士业绩要求（近三年）：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1.自然学科类，满足以下条件之一：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（1）以第一作者或通讯作者发表SCI文章1篇且IF≥8分；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（2）以第一作者或通讯作者发表JCR一区文章至少1篇；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（3）以第一作者或通讯作者发表SCI文章，总IF≥15分；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（4）作为有效排名人身份参与国家重大项目至少1项（须提交盖鲜章的申报书原件或本人签字复印件）；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</w:rPr>
        <w:t>）获得国家发明专利2项。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2.人文社科类，满足以下条件之一：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（1）以第一作者或通讯作者发表CSSCI(不含扩展版)、SSCI、A﹠HCI 来源论文≥2 篇；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（2）主持国家社科基金至少1项；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（3）作为有效排名人身份参与国家重大项目至少1项（须提交盖鲜章的申报书原件或本人签字复印件）；</w:t>
      </w:r>
    </w:p>
    <w:p>
      <w:pPr>
        <w:spacing w:line="54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（4）出版与本专业（学科）相关的专著至少1本。</w:t>
      </w:r>
    </w:p>
    <w:p>
      <w:pPr>
        <w:spacing w:line="5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5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特别优秀的人才不受上述限制，采用一事一议，具体面议。</w:t>
      </w:r>
    </w:p>
    <w:p>
      <w:pPr>
        <w:widowControl/>
        <w:spacing w:line="540" w:lineRule="exact"/>
        <w:ind w:firstLine="562" w:firstLineChars="200"/>
        <w:jc w:val="left"/>
        <w:rPr>
          <w:rFonts w:asciiTheme="majorEastAsia" w:hAnsiTheme="majorEastAsia" w:eastAsiaTheme="majorEastAsia" w:cstheme="majorEastAsia"/>
          <w:b/>
          <w:bCs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三、通迅地址及联系方式：</w:t>
      </w:r>
    </w:p>
    <w:p>
      <w:pPr>
        <w:widowControl/>
        <w:spacing w:line="540" w:lineRule="exact"/>
        <w:ind w:firstLine="560"/>
        <w:jc w:val="left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地址：四川省泸州市龙马潭区香林路1段1号德诚楼7楼西南医科大学人事处 </w:t>
      </w:r>
    </w:p>
    <w:p>
      <w:pPr>
        <w:widowControl/>
        <w:spacing w:line="540" w:lineRule="exact"/>
        <w:ind w:firstLine="560"/>
        <w:jc w:val="left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电话：0830-3160509       　　联系人：杨老师/文老师</w:t>
      </w:r>
    </w:p>
    <w:p>
      <w:pPr>
        <w:widowControl/>
        <w:spacing w:line="54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电子邮箱:hr@swmu.edu.cn　　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邮　编：646000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2106295" cy="2106295"/>
            <wp:effectExtent l="0" t="0" r="8255" b="8255"/>
            <wp:docPr id="1" name="图片 1" descr="学校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官网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2134235" cy="2134235"/>
            <wp:effectExtent l="0" t="0" r="18415" b="18415"/>
            <wp:docPr id="2" name="图片 2" descr="人事处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事处官网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学校官网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人事处官网</w:t>
      </w:r>
    </w:p>
    <w:p>
      <w:pPr>
        <w:spacing w:line="54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四、来校考察路线：</w:t>
      </w:r>
    </w:p>
    <w:p>
      <w:pPr>
        <w:spacing w:line="54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1、直飞泸州：到达云龙机场后，乘坐95路公交车到泸州客运中心站下车，步行20分钟或打车到西南医科大学城北校区。</w:t>
      </w:r>
    </w:p>
    <w:p>
      <w:pPr>
        <w:spacing w:line="54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若无直达泸州云龙机场的航线请选择其他方式：</w:t>
      </w:r>
    </w:p>
    <w:p>
      <w:pPr>
        <w:spacing w:line="54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2、飞抵重庆：T2、T3航站楼乘至泸州的机场大巴专线，全天候滚动发车，购票及上车地点位于航站楼内，较方便；也可拼车到泸州，泸渝快的订票电话18980257979，票价150元/人，需在航班起飞前预定。</w:t>
      </w:r>
    </w:p>
    <w:p>
      <w:pPr>
        <w:spacing w:line="54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3、乘高铁到重庆：重庆北站—隆昌北站（约40分钟），出隆昌北站后有直达泸州的客运车。也可拼车到泸，订票电话15182511188,票价50元/人。隆昌北站到泸州约1小时。</w:t>
      </w:r>
    </w:p>
    <w:p>
      <w:pPr>
        <w:spacing w:line="54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4、飞抵成都：可选择坐客车直达泸州，也可在成都东站坐高铁到隆昌北站。</w:t>
      </w:r>
    </w:p>
    <w:p>
      <w:pPr>
        <w:spacing w:line="54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5、乘高铁到成都：成都东站—隆昌北站（约50分钟），出隆昌北站后有直达泸州的客运车。也可拼车到泸，订票电话15182511188,票价50元/人。隆昌北站到泸州约1小时。</w:t>
      </w:r>
    </w:p>
    <w:p>
      <w:pPr>
        <w:spacing w:line="54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来我校考察面试的博士，我校可报销一定的交通费及住宿费(须报销凭证)。具体请与我校工作人员联系。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0C99"/>
    <w:rsid w:val="000474D7"/>
    <w:rsid w:val="0007413F"/>
    <w:rsid w:val="000E3AC3"/>
    <w:rsid w:val="00107AA3"/>
    <w:rsid w:val="00126024"/>
    <w:rsid w:val="001A4F90"/>
    <w:rsid w:val="00216829"/>
    <w:rsid w:val="00242B89"/>
    <w:rsid w:val="00287E5F"/>
    <w:rsid w:val="00320C99"/>
    <w:rsid w:val="00366EA7"/>
    <w:rsid w:val="003E5DCA"/>
    <w:rsid w:val="00405985"/>
    <w:rsid w:val="004275D6"/>
    <w:rsid w:val="00462FAE"/>
    <w:rsid w:val="004F04D0"/>
    <w:rsid w:val="005C6121"/>
    <w:rsid w:val="0060271A"/>
    <w:rsid w:val="006453D3"/>
    <w:rsid w:val="00664D3C"/>
    <w:rsid w:val="00685165"/>
    <w:rsid w:val="006D218B"/>
    <w:rsid w:val="006E74B5"/>
    <w:rsid w:val="00741344"/>
    <w:rsid w:val="007443CC"/>
    <w:rsid w:val="007C1356"/>
    <w:rsid w:val="007C14C0"/>
    <w:rsid w:val="007F5BA6"/>
    <w:rsid w:val="00850326"/>
    <w:rsid w:val="00880C37"/>
    <w:rsid w:val="00896694"/>
    <w:rsid w:val="00955DBC"/>
    <w:rsid w:val="009C1DF4"/>
    <w:rsid w:val="009E53FA"/>
    <w:rsid w:val="00A313BD"/>
    <w:rsid w:val="00A40357"/>
    <w:rsid w:val="00B46550"/>
    <w:rsid w:val="00B743DB"/>
    <w:rsid w:val="00BA70BC"/>
    <w:rsid w:val="00BD2DC2"/>
    <w:rsid w:val="00C71B8C"/>
    <w:rsid w:val="00CD7F75"/>
    <w:rsid w:val="00D85792"/>
    <w:rsid w:val="00DE6092"/>
    <w:rsid w:val="00E0046A"/>
    <w:rsid w:val="00E038CE"/>
    <w:rsid w:val="00E33400"/>
    <w:rsid w:val="00EB303E"/>
    <w:rsid w:val="00EE1995"/>
    <w:rsid w:val="00EE2556"/>
    <w:rsid w:val="00F17983"/>
    <w:rsid w:val="00F957BA"/>
    <w:rsid w:val="00FB4A4B"/>
    <w:rsid w:val="022079CC"/>
    <w:rsid w:val="02B73948"/>
    <w:rsid w:val="031A261D"/>
    <w:rsid w:val="033E2796"/>
    <w:rsid w:val="03F22661"/>
    <w:rsid w:val="045C0AE9"/>
    <w:rsid w:val="04966823"/>
    <w:rsid w:val="05C63620"/>
    <w:rsid w:val="05E2163C"/>
    <w:rsid w:val="06987BBC"/>
    <w:rsid w:val="06D61CCD"/>
    <w:rsid w:val="071C42A1"/>
    <w:rsid w:val="077B60D6"/>
    <w:rsid w:val="07A7664E"/>
    <w:rsid w:val="09396E54"/>
    <w:rsid w:val="0C8C796B"/>
    <w:rsid w:val="0D2B7093"/>
    <w:rsid w:val="0D314526"/>
    <w:rsid w:val="0DD06015"/>
    <w:rsid w:val="0E694656"/>
    <w:rsid w:val="12A8789D"/>
    <w:rsid w:val="15D82B6A"/>
    <w:rsid w:val="167E2B99"/>
    <w:rsid w:val="16D9613C"/>
    <w:rsid w:val="178C7CAF"/>
    <w:rsid w:val="17DC0DD0"/>
    <w:rsid w:val="1A26159D"/>
    <w:rsid w:val="1BA57A7D"/>
    <w:rsid w:val="1F144F86"/>
    <w:rsid w:val="22F66E20"/>
    <w:rsid w:val="24002D53"/>
    <w:rsid w:val="24396C3D"/>
    <w:rsid w:val="252A6B27"/>
    <w:rsid w:val="2688085F"/>
    <w:rsid w:val="28507EB6"/>
    <w:rsid w:val="28534109"/>
    <w:rsid w:val="29547DA0"/>
    <w:rsid w:val="2B2A6338"/>
    <w:rsid w:val="2D054A13"/>
    <w:rsid w:val="2D214C4C"/>
    <w:rsid w:val="2D645F57"/>
    <w:rsid w:val="2D670662"/>
    <w:rsid w:val="2DFD567C"/>
    <w:rsid w:val="316F136C"/>
    <w:rsid w:val="32D315BE"/>
    <w:rsid w:val="34753B32"/>
    <w:rsid w:val="3477366C"/>
    <w:rsid w:val="35502D84"/>
    <w:rsid w:val="36AF749B"/>
    <w:rsid w:val="37F12939"/>
    <w:rsid w:val="3AF6158A"/>
    <w:rsid w:val="3D137103"/>
    <w:rsid w:val="3E962AEB"/>
    <w:rsid w:val="403937A0"/>
    <w:rsid w:val="415E0CE8"/>
    <w:rsid w:val="41B20C21"/>
    <w:rsid w:val="44C0302A"/>
    <w:rsid w:val="459B6179"/>
    <w:rsid w:val="467A4BD3"/>
    <w:rsid w:val="4D1B75F6"/>
    <w:rsid w:val="4D557971"/>
    <w:rsid w:val="4D6550EB"/>
    <w:rsid w:val="4DC0378D"/>
    <w:rsid w:val="4F8928DD"/>
    <w:rsid w:val="527D21B2"/>
    <w:rsid w:val="55F3040B"/>
    <w:rsid w:val="568D59D9"/>
    <w:rsid w:val="583033FF"/>
    <w:rsid w:val="58406A4F"/>
    <w:rsid w:val="58D20A09"/>
    <w:rsid w:val="59A35320"/>
    <w:rsid w:val="59C6133E"/>
    <w:rsid w:val="5AE17903"/>
    <w:rsid w:val="5AF43AF5"/>
    <w:rsid w:val="5C1919AD"/>
    <w:rsid w:val="5CEE65D4"/>
    <w:rsid w:val="5D38490D"/>
    <w:rsid w:val="6120121F"/>
    <w:rsid w:val="6320322B"/>
    <w:rsid w:val="63D1527F"/>
    <w:rsid w:val="649A3ED0"/>
    <w:rsid w:val="67996655"/>
    <w:rsid w:val="6ABB28BC"/>
    <w:rsid w:val="6AD93AB1"/>
    <w:rsid w:val="6E646D41"/>
    <w:rsid w:val="6ED807ED"/>
    <w:rsid w:val="71F87EF0"/>
    <w:rsid w:val="759629BA"/>
    <w:rsid w:val="764D1B32"/>
    <w:rsid w:val="770359BE"/>
    <w:rsid w:val="7B5B0073"/>
    <w:rsid w:val="7D1F6F6E"/>
    <w:rsid w:val="7D2F6177"/>
    <w:rsid w:val="7F587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325</Words>
  <Characters>1854</Characters>
  <Lines>15</Lines>
  <Paragraphs>4</Paragraphs>
  <TotalTime>43</TotalTime>
  <ScaleCrop>false</ScaleCrop>
  <LinksUpToDate>false</LinksUpToDate>
  <CharactersWithSpaces>2175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qch</dc:creator>
  <cp:lastModifiedBy>百事可乐</cp:lastModifiedBy>
  <cp:lastPrinted>2017-03-06T09:48:00Z</cp:lastPrinted>
  <dcterms:modified xsi:type="dcterms:W3CDTF">2020-01-03T07:14:15Z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