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outlineLvl w:val="9"/>
        <w:rPr>
          <w:rFonts w:hint="eastAsia"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西南医科大学附属中医医院2020</w:t>
      </w:r>
      <w:bookmarkStart w:id="0" w:name="_GoBack"/>
      <w:bookmarkEnd w:id="0"/>
      <w:r>
        <w:rPr>
          <w:rFonts w:hint="eastAsia" w:ascii="宋体" w:hAnsi="宋体" w:eastAsia="宋体" w:cs="宋体"/>
          <w:b/>
          <w:bCs/>
          <w:i w:val="0"/>
          <w:caps w:val="0"/>
          <w:color w:val="000000"/>
          <w:spacing w:val="0"/>
          <w:kern w:val="0"/>
          <w:sz w:val="28"/>
          <w:szCs w:val="28"/>
          <w:shd w:val="clear" w:fill="FFFFFF"/>
          <w:lang w:val="en-US" w:eastAsia="zh-CN" w:bidi="ar"/>
        </w:rPr>
        <w:t>年招聘简章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bCs/>
          <w:i w:val="0"/>
          <w:caps w:val="0"/>
          <w:color w:val="000000"/>
          <w:spacing w:val="0"/>
          <w:kern w:val="0"/>
          <w:sz w:val="24"/>
          <w:szCs w:val="24"/>
          <w:shd w:val="clear" w:fill="FFFFFF"/>
          <w:lang w:val="en-US" w:eastAsia="zh-CN" w:bidi="ar"/>
        </w:rPr>
        <w:t>一、医院简介</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中西医结合学院前身为1977年建立的泸州医学院中医系，1993年正式招收硕士研究生。附属中医院于1983年建立， 1998年中医系与附属中医院实行“系院合一”管理体制，2001年中医系更名为中西医结合系，2003年更名为中西医结合学院。</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西南医科大学附属中医医院是一所集医疗、教学、科研、预防保健、产业文化、集团医院、国际交流于一体的具有中医、中西医结合特色的三级甲等综合性教学医院，始建于1983年，医院通过了ISO9001质量认证，是“中医药传承创新工程重点中医医院”“国家药物临床试验机构”“国家中医临床研究基地建设单位”和“五星级”中医医院。先后获得了 “全国重点建设中医医院”“中国百强品牌医院”“全国卫生系统先进集体”“全国中医药系统创先争优活动先进集体”“全国冬病夏治先进单位”“全国省级综合性医院文化建设先进单位”“全国名老中医师承工作管理先进单位”“全国中医药文化建设先进单位”“全国中医药科普知识宣传教育先进单位”“全国医院文化建设创新单位”“全国中医电子病历示范单位”“全国中医药文化宣传教育基地”“国家首批住院医师规范化培训和全科医师规范化培训基地”“国家教育部首批‘5+3’专业学位研究生培养单位”“四川省中医类别医师资格考试实践技能考试基地”“四川省委教育工委先进基层党组织”“四川省医药卫生系统先进集体”“泸州市先进基层党组织”、9次荣获“泸州市110社会服务应急联动一等奖”等殊荣。</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总占地面积80.2亩，建筑面积21万余平方米，形成了城北新院、水井沟院区、忠山院区、龙驰门诊部、天寿同仁国医馆及驾驶员体检中心、机场航空救护站“一院七地”的办院格局。医院现有编制床位3000张，城北传承创新大楼于2019年10月投入使用。现有在职职工2500余人，其中高级职称专家300余人，硕博士300余人，博士研究生导师和硕士研究生导师100余人，国家级、省级学术专委会委员以上专家200余人次，聘有世界范围内专兼职教授200余人。</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是国家中医临床研究基地建设单位，拥有区域中医脑病、肾病、肝病诊疗中心，设有57个临床和辅检科室，其中国家临床重点建设专科2个（脑病科、肾病科），国家中医药管理局重点专科5个（耳鼻咽喉科、脑病科、肝病科、肾病科和重症医学科），国家中医重点专科协作组成员单位3个（治未病中心、护理学、临床药学），四川省中医重点专科13个，四川省卫计委甲级重点学科1个（麻醉学）和一批院级重点专科，国家名老中医药专家传承工作室8个（孙同郊、王明杰、陈隆晖、汪世强、胡春申、张茂平、黄淑芬、王鸿度）和四川省名中医工作室3个（孙同郊、杨思进、王明杰）。医院获批建泸州市人民政府院士工作站，有国家重点实验室、四川省重点实验室、四川省中医药重大疾病防治协作中心、四川省中医药“治未病”中心，医院制剂室为四川省中药制剂能力建设单位，近年来，医院大力开展新技术新项目，先后成立了手外科中心、运动创伤及关节微创外科中心、静脉用药调配中心、临床营养中心、治未病中心、胸痛中心、介入诊疗中心、健身中心、医学美容中心、中西医结合药物研究中心、中葡中医药国际合作中心、中医表型组学研究中心、中西医结合心脑血管疾病研究中心等。</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拥有Skyra3.0T、飞利浦1.5TMRI、Flash双源CT、医科达、新华6MeV直线加速器、Ysio双板DR、西门子、联影螺旋CT、Ceiling、Floor平板DSA、美敦力手术导航系统、飞利浦四维彩超、S5人工心肺机系统、进口全自动药品分包机、遗传分析仪、奥林巴斯和潘太克斯胃肠镜、阿玛仕1050RS准分子激光近视手术系统、头颅伽玛刀、腹腔镜系统、林氟泰克关节镜、卡尔史托斯神经内窥镜、徕卡、蔡司手术显微镜、海德堡OTC、全自动生化分析仪等先进设备以及眼科手术中心多个层流手术室。</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与西南医科大学中西医结合学院实行院院合一。有中西医临床医学和中医学两个本科专业以及中西医结合皮肤性病学、中西医结合眼耳鼻喉学、中西医结合骨伤学3个辅修专业，中西医临床医学和中医学均为一本招生专业。有中西医结合、中医学2个一级学科硕士学位授权点，中医学为国家卓越医生（中医）培养计划项目,中西医临床医学为国家级特色专业，中西医结合临床为国家中医药管理中医药重点学科、四川省重点学科、四川省高等教育“质量工程”项目，《中医学》为四川省精品课程，《中医骨伤科学基础》为省级精品在线开放课程。建院以来，先后培养了中医、中西医临床本科人才7000余名，研究生人才400余名，留学生人才500余名。现有在校本科生、研究生、留学生2200余人。</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科研氛围浓厚，先后承担国家自然科学基金课题、863、973子课题等科研项目。医院共建国家中医药管理局三级实验室心肌电生理实验室，拥有四川省中医药管理局二级实验室肝脏生物化学实验室、四川省教育厅高等学校重点实验室和中西医结合研究中心实验室。主持各级科研课题1000余项，其中国家级科研项目30余项，省部级科研项目100余项，获得各级科研成果奖80余项：其中中国中医药研究促进会科技进步二等奖1项、三等奖1项，中华医学会科技进步三等奖2项，华夏医学科技奖三等奖1项，四川省科技进步一等奖1项，三等奖20余项；泸州市科技进步奖30余项。发表学术论文4000余篇，其中SCI收录130余篇；获得国家专利授权90余项。开发医院中药制剂56个，拥有科技成果转化公司2个（泸州神农科技开发有限责任公司和四川省中医药转化医学中心泸州分中心）。</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医院先后与德国、美国、日本、加拿大、俄罗斯、葡萄牙、捷克等国家建立了学术交流、长期教学及科研合作关系，成为中国-中东欧国家医院合作联盟单位、国际心脏联合诊疗中心成员单位，成立了捷克中医中心。2011年，成立了以我院牵头的泸州市中医医疗集团，现有170家医疗机构成员单位，有紧密型合作型分院14家。</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xml:space="preserve">医院始终坚持“管理治院、质量立院、特色办院、科教兴院、人才强院、文化铸院”的办院方针，弘扬“团结建院，艰苦建院”的医院精神，恪守“德业并修，精诚致远”的医院院训，肩负“仁和精诚，佑护生命”的医院使命，坚持“以德聚人，以文化人”的管理理念，践行“千方百计，臻于至善”的服务理念，大力推行“中医院要姓‘中’，中医院也要姓‘综’，中医人才要姓‘博’，现代科技要‘跟踪’”的发展理念，“学术引领，技术指导，上下联动，开放共享”的学术理念，“医院不分大小，发展不分先后，同行相互切磋，互助才是出路”的帮扶理念，以实际行动实现“国内一流、国际知名的中医、中西医结合特色现代化医院”的愿景。 </w:t>
      </w:r>
    </w:p>
    <w:p>
      <w:pPr>
        <w:keepNext w:val="0"/>
        <w:keepLines w:val="0"/>
        <w:pageBreakBefore w:val="0"/>
        <w:kinsoku/>
        <w:wordWrap/>
        <w:overflowPunct/>
        <w:topLinePunct w:val="0"/>
        <w:autoSpaceDE/>
        <w:autoSpaceDN/>
        <w:bidi w:val="0"/>
        <w:adjustRightInd/>
        <w:snapToGrid/>
        <w:spacing w:beforeAutospacing="0" w:afterAutospacing="0" w:line="400" w:lineRule="exact"/>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二、招聘计划</w:t>
      </w:r>
    </w:p>
    <w:tbl>
      <w:tblPr>
        <w:tblStyle w:val="5"/>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8"/>
        <w:gridCol w:w="2565"/>
        <w:gridCol w:w="1335"/>
        <w:gridCol w:w="1470"/>
        <w:gridCol w:w="3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5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科  室</w:t>
            </w:r>
          </w:p>
        </w:tc>
        <w:tc>
          <w:tcPr>
            <w:tcW w:w="25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  业</w:t>
            </w: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需求人数</w:t>
            </w:r>
          </w:p>
        </w:tc>
        <w:tc>
          <w:tcPr>
            <w:tcW w:w="14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学历要求</w:t>
            </w:r>
          </w:p>
        </w:tc>
        <w:tc>
          <w:tcPr>
            <w:tcW w:w="34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4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临床各专业</w:t>
            </w:r>
          </w:p>
        </w:tc>
        <w:tc>
          <w:tcPr>
            <w:tcW w:w="13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10-20</w:t>
            </w:r>
          </w:p>
        </w:tc>
        <w:tc>
          <w:tcPr>
            <w:tcW w:w="14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博士</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具备执业资格证。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1538" w:type="dxa"/>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急诊科</w:t>
            </w:r>
          </w:p>
        </w:tc>
        <w:tc>
          <w:tcPr>
            <w:tcW w:w="256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内科</w:t>
            </w:r>
          </w:p>
        </w:tc>
        <w:tc>
          <w:tcPr>
            <w:tcW w:w="13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4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本科及以上</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神经外科</w:t>
            </w:r>
          </w:p>
        </w:tc>
        <w:tc>
          <w:tcPr>
            <w:tcW w:w="256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神经外科</w:t>
            </w:r>
          </w:p>
        </w:tc>
        <w:tc>
          <w:tcPr>
            <w:tcW w:w="133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硕士及以上</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具备执业资格证。从事临床与基础工作，具有实验室工作经历者优先。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 w:hRule="atLeast"/>
          <w:jc w:val="center"/>
        </w:trPr>
        <w:tc>
          <w:tcPr>
            <w:tcW w:w="153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6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肿瘤（肿瘤放疗方向）</w:t>
            </w:r>
          </w:p>
        </w:tc>
        <w:tc>
          <w:tcPr>
            <w:tcW w:w="133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本科及以上</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具备执业资格证。从事肿瘤放疗相关工作，具有物理师资格证者优先。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2" w:hRule="atLeast"/>
          <w:jc w:val="center"/>
        </w:trPr>
        <w:tc>
          <w:tcPr>
            <w:tcW w:w="153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565"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重症监护（神经重症方向）</w:t>
            </w:r>
          </w:p>
        </w:tc>
        <w:tc>
          <w:tcPr>
            <w:tcW w:w="1335"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470"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硕士及以上</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具备执业资格证。从事重症监护相关工作，具有神经重症工作经历者优先。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心脑病科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神经内科介入</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i w:val="0"/>
                <w:color w:val="000000"/>
                <w:kern w:val="0"/>
                <w:sz w:val="24"/>
                <w:szCs w:val="24"/>
                <w:u w:val="none"/>
                <w:lang w:val="en-US" w:eastAsia="zh-CN" w:bidi="ar"/>
              </w:rPr>
              <w:t>具备执业资格证。具有神经介入相关工作经历者优先。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专职科研人员</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从事实验室工作，能基本掌握实验室常用实验手段，如细胞培养、蛋白电泳、WB、基因敲除、质谱等。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耳鼻咽喉科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中西医结合专业耳鼻咽喉科方向</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具备执业资格证。具有相关工作经验者优先。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医学美容中心</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整形外科</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具备执业资格证。取得三甲医院规培结业证者优先。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药剂科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中药学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药学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放射影像科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影像诊断与核医学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医学影像技术</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大专及以上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超声影像科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影像诊断与核医学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医学影像学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2-3</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具备相关资格证，已规培结业者优先。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肾病科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临床医学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具备执业资格证及规培结业证。主要从事血管通路、腹膜透析置管工作。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科研部</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中文、管理或医学相关专业等</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检验科（精准医学检验中心）</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临床检验诊断学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具备相关资格证书及规培结业证，特别优秀者条件可适当放宽。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专职科研人员</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热爱科研工作，有第一作者SCI论文者优先。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呼吸内科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呼吸专业</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疼痛科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临床、中医、针灸康复或中西医结合等</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麻醉科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麻醉或临床医学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具备执业资格证，特别优秀者条件可适当放宽。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妇产科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jc w:val="center"/>
        </w:trPr>
        <w:tc>
          <w:tcPr>
            <w:tcW w:w="1538"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医学或生物医学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具有中级职称，具备细胞生物学、胚胎学、遗传学等相关学科理论、细胞培技能及相关工作经历。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医学或生物医学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具有高级职称，掌握人类辅助生殖技术相关实验手段，具有一定管理能力。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临床药学/GCP中心</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临床药学或药理学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具备临床药师资格证书或有循证研究基础者优先。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肝胆外科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肝胆外科或儿外科</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口腔科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口腔颌面外科专业或种植修复专业</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具备执业资格证，已规培结业者优先。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ICU</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中医或中西医结合临床</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2-3</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脾胃病科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中医或中西医结合临床</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中西医结合研究中心</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生物信息学、细胞生物学、生命科学或基础医学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3-4</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磁共振室</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影像诊断与核医学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具备相关资格证。全日制本科毕业须具备规培结业证。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内分泌病科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内分泌代谢</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具备执业资格证，有主治及以上专业技术职称，5年及以上临床工作经验。有进修经历者优先。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老年病科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中西医结合或老年医学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具备执业资格证及规培结业证。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针灸康复科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康复治疗</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具备相关资格证或规培结业者优先。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骨伤科（创伤组）</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中西医结合临床</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具有三甲医院规培经历；2、硕士期间以第一作者发表本专业学术论文3篇以上，其中至少1篇为中文核心或SCI收录文章；3、通过英语六级考试，具备英文读写能力；4、具备基础实验技能，能独立完成细胞培养、western blot、PCR等操作；5、省级或校级优秀毕业生优先。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儿科</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中西医结合、中医及临床</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具备相关资格证并规培结业，有工作经历者优先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儿保</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具备相关资格证并规培结业，有工作经历者优先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静脉用药调配中心</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中药学、药学或临床药学</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16-18</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审计部</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审计</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硕士及以上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具备初级审计师及以上资格证，有一定工作经验或社会实践经历。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感染管理办公室</w:t>
            </w: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预防医学、护理学等</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153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护理</w:t>
            </w:r>
          </w:p>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p>
        </w:tc>
        <w:tc>
          <w:tcPr>
            <w:tcW w:w="256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护理</w:t>
            </w:r>
          </w:p>
        </w:tc>
        <w:tc>
          <w:tcPr>
            <w:tcW w:w="133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10-20</w:t>
            </w:r>
          </w:p>
        </w:tc>
        <w:tc>
          <w:tcPr>
            <w:tcW w:w="147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全日制本科及以上</w:t>
            </w:r>
          </w:p>
        </w:tc>
        <w:tc>
          <w:tcPr>
            <w:tcW w:w="34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原则上年龄在</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30</w:t>
            </w:r>
            <w:r>
              <w:rPr>
                <w:rFonts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周岁以下（19</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89</w:t>
            </w:r>
            <w:r>
              <w:rPr>
                <w:rFonts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年1月1日以后出生）</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；往届生须</w:t>
            </w:r>
            <w:r>
              <w:rPr>
                <w:rFonts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具有护士资格证</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。中医护理人员及硕士研究生优先。</w:t>
            </w:r>
          </w:p>
        </w:tc>
      </w:tr>
    </w:tbl>
    <w:p>
      <w:pPr>
        <w:keepNext w:val="0"/>
        <w:keepLines w:val="0"/>
        <w:pageBreakBefore w:val="0"/>
        <w:kinsoku/>
        <w:wordWrap/>
        <w:overflowPunct/>
        <w:topLinePunct w:val="0"/>
        <w:autoSpaceDE/>
        <w:autoSpaceDN/>
        <w:bidi w:val="0"/>
        <w:adjustRightInd/>
        <w:snapToGrid/>
        <w:spacing w:beforeAutospacing="0" w:afterAutospacing="0" w:line="400" w:lineRule="exact"/>
        <w:outlineLvl w:val="9"/>
        <w:rPr>
          <w:rFonts w:hint="eastAsia" w:ascii="宋体" w:hAnsi="宋体" w:eastAsia="宋体" w:cs="宋体"/>
          <w:b w:val="0"/>
          <w:i w:val="0"/>
          <w:caps w:val="0"/>
          <w:color w:val="000000"/>
          <w:spacing w:val="0"/>
          <w:sz w:val="24"/>
          <w:szCs w:val="24"/>
          <w:shd w:val="clear" w:fill="FFFFFF"/>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outlineLvl w:val="9"/>
        <w:rPr>
          <w:rFonts w:hint="eastAsia"/>
          <w:b/>
          <w:bCs/>
          <w:lang w:val="en-US" w:eastAsia="zh-CN"/>
        </w:rPr>
      </w:pPr>
      <w:r>
        <w:rPr>
          <w:rFonts w:hint="eastAsia"/>
          <w:b/>
          <w:bCs/>
          <w:lang w:val="en-US" w:eastAsia="zh-CN"/>
        </w:rPr>
        <w:t>三、联系方式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outlineLvl w:val="9"/>
      </w:pPr>
      <w:r>
        <w:rPr>
          <w:rFonts w:hint="eastAsia"/>
          <w:lang w:val="en-US" w:eastAsia="zh-CN"/>
        </w:rPr>
        <w:t>联系</w:t>
      </w:r>
      <w:r>
        <w:t>电话：0830-3161859</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outlineLvl w:val="9"/>
      </w:pPr>
      <w:r>
        <w:t xml:space="preserve">联系人：王老师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outlineLvl w:val="9"/>
      </w:pPr>
      <w:r>
        <w:t>简历接收邮箱：</w:t>
      </w:r>
      <w:r>
        <w:fldChar w:fldCharType="begin"/>
      </w:r>
      <w:r>
        <w:instrText xml:space="preserve"> HYPERLINK "mailto:lyzyyyrsk@163.com" </w:instrText>
      </w:r>
      <w:r>
        <w:fldChar w:fldCharType="separate"/>
      </w:r>
      <w:r>
        <w:rPr>
          <w:rStyle w:val="8"/>
        </w:rPr>
        <w:t>lyzyyyrsk@163.com</w:t>
      </w:r>
      <w: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outlineLvl w:val="9"/>
        <w:rPr>
          <w:rFonts w:hint="eastAsia" w:ascii="宋体" w:hAnsi="宋体" w:eastAsia="宋体" w:cs="宋体"/>
          <w:b w:val="0"/>
          <w:i w:val="0"/>
          <w:caps w:val="0"/>
          <w:color w:val="000000"/>
          <w:spacing w:val="0"/>
          <w:sz w:val="24"/>
          <w:szCs w:val="24"/>
          <w:shd w:val="clear" w:fill="FFFFFF"/>
        </w:rPr>
      </w:pPr>
      <w:r>
        <w:t xml:space="preserve">邮编：646000 </w:t>
      </w:r>
    </w:p>
    <w:p>
      <w:pPr>
        <w:keepNext w:val="0"/>
        <w:keepLines w:val="0"/>
        <w:pageBreakBefore w:val="0"/>
        <w:kinsoku/>
        <w:wordWrap/>
        <w:overflowPunct/>
        <w:topLinePunct w:val="0"/>
        <w:autoSpaceDE/>
        <w:autoSpaceDN/>
        <w:bidi w:val="0"/>
        <w:adjustRightInd/>
        <w:snapToGrid/>
        <w:spacing w:beforeAutospacing="0" w:afterAutospacing="0" w:line="400" w:lineRule="exact"/>
        <w:outlineLvl w:val="9"/>
        <w:rPr>
          <w:rFonts w:hint="eastAsia" w:ascii="宋体" w:hAnsi="宋体" w:eastAsia="宋体" w:cs="宋体"/>
          <w:b w:val="0"/>
          <w:i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E3D04"/>
    <w:rsid w:val="12C74A1E"/>
    <w:rsid w:val="1B2E3D04"/>
    <w:rsid w:val="43810046"/>
    <w:rsid w:val="4B532825"/>
    <w:rsid w:val="517261D9"/>
    <w:rsid w:val="5B4A6B39"/>
    <w:rsid w:val="5BF6177E"/>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bsharetex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2018-11-19T02:01:00Z</dcterms:created>
  <dc:creator>王人可</dc:creator>
  <cp:lastModifiedBy>长乐未央</cp:lastModifiedBy>
  <cp:lastPrinted>2018-11-19T02:03:00Z</cp:lastPrinted>
  <dcterms:modified xsi:type="dcterms:W3CDTF">2019-12-24T09:31:09Z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